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9" w:rsidRDefault="00054D69" w:rsidP="00054D69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ՀԱՊՀ</w:t>
      </w:r>
      <w:r w:rsidRPr="00720C8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Վանաձորի</w:t>
      </w:r>
      <w:r w:rsidRPr="00720C8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մասնաճյուղ</w:t>
      </w:r>
      <w:r w:rsidRPr="00720C8B">
        <w:rPr>
          <w:rFonts w:ascii="Sylfaen" w:hAnsi="Sylfaen"/>
        </w:rPr>
        <w:t xml:space="preserve">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054D69" w:rsidRPr="003F537A" w:rsidRDefault="00054D69" w:rsidP="00054D69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 w:rsidRPr="003F537A">
        <w:rPr>
          <w:rFonts w:ascii="Sylfaen" w:hAnsi="Sylfaen" w:cs="Sylfaen"/>
          <w:lang w:val="hy-AM"/>
        </w:rPr>
        <w:t>Տեխնոլոգիալան գործ. ավ</w:t>
      </w:r>
      <w:r w:rsidR="006927B7">
        <w:rPr>
          <w:rFonts w:ascii="Sylfaen" w:hAnsi="Sylfaen" w:cs="Sylfaen"/>
        </w:rPr>
        <w:t>տ</w:t>
      </w:r>
      <w:r w:rsidRPr="003F537A">
        <w:rPr>
          <w:rFonts w:ascii="Sylfaen" w:hAnsi="Sylfaen" w:cs="Sylfaen"/>
          <w:lang w:val="hy-AM"/>
        </w:rPr>
        <w:t>ոմաիացում</w:t>
      </w:r>
    </w:p>
    <w:p w:rsidR="00054D69" w:rsidRDefault="00054D69" w:rsidP="00054D69">
      <w:pPr>
        <w:rPr>
          <w:rFonts w:ascii="Sylfaen" w:hAnsi="Sylfaen" w:cs="Sylfaen"/>
          <w:lang w:val="en-US"/>
        </w:rPr>
      </w:pPr>
    </w:p>
    <w:p w:rsidR="004C5005" w:rsidRPr="00054D69" w:rsidRDefault="00054D69" w:rsidP="00054D69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054D69">
        <w:rPr>
          <w:rFonts w:ascii="Sylfaen" w:hAnsi="Sylfaen"/>
          <w:b/>
          <w:sz w:val="28"/>
          <w:szCs w:val="28"/>
          <w:lang w:val="en-US"/>
        </w:rPr>
        <w:t>ՀԱՐՑԱՇԱՐ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</w:t>
      </w:r>
      <w:r w:rsidRPr="00054D69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ների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դերն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նշանակությունը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մեքենաշինության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ոլորտում</w:t>
      </w:r>
      <w:r w:rsidRPr="00054D69">
        <w:rPr>
          <w:rFonts w:ascii="Sylfaen" w:hAnsi="Sylfaen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</w:t>
      </w:r>
      <w:r w:rsidRPr="00054D69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ների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դերը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մեքենաշինական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արտադրության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համալիրի</w:t>
      </w:r>
      <w:r w:rsidRPr="00054D69">
        <w:rPr>
          <w:rFonts w:ascii="Sylfaen" w:hAnsi="Sylfaen"/>
          <w:lang w:val="en-US"/>
        </w:rPr>
        <w:tab/>
        <w:t xml:space="preserve"> </w:t>
      </w:r>
      <w:r>
        <w:rPr>
          <w:rFonts w:ascii="Sylfaen" w:hAnsi="Sylfaen"/>
          <w:lang w:val="en-US"/>
        </w:rPr>
        <w:t>ավտոմատացման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հարցում</w:t>
      </w:r>
      <w:r w:rsidRPr="00054D69">
        <w:rPr>
          <w:rFonts w:ascii="Sylfaen" w:hAnsi="Sylfaen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</w:t>
      </w:r>
      <w:r w:rsidRPr="00054D69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ների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տեղը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ճկուն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արտադրական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համակարգերում</w:t>
      </w:r>
      <w:r w:rsidRPr="00054D69">
        <w:rPr>
          <w:rFonts w:ascii="Sylfaen" w:hAnsi="Sylfaen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</w:t>
      </w:r>
      <w:r w:rsidRPr="00054D69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ների</w:t>
      </w:r>
      <w:r w:rsidRPr="00054D69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զարգացման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արդի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վիճակը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կիրառման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ոլորտները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տեխնոլոգիական</w:t>
      </w:r>
      <w:r w:rsidRPr="00054D69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գործընթացների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հիմնական</w:t>
      </w:r>
      <w:r w:rsidRPr="00054D69">
        <w:rPr>
          <w:rFonts w:ascii="Sylfaen" w:hAnsi="Sylfaen"/>
          <w:lang w:val="en-US"/>
        </w:rPr>
        <w:t xml:space="preserve"> </w:t>
      </w:r>
      <w:r w:rsidRPr="00054D69">
        <w:rPr>
          <w:rFonts w:ascii="Sylfaen" w:hAnsi="Sylfaen"/>
          <w:lang w:val="en-US"/>
        </w:rPr>
        <w:tab/>
        <w:t xml:space="preserve">                    </w:t>
      </w:r>
      <w:r>
        <w:rPr>
          <w:rFonts w:ascii="Sylfaen" w:hAnsi="Sylfaen"/>
          <w:lang w:val="en-US"/>
        </w:rPr>
        <w:t>գործողություններում</w:t>
      </w:r>
      <w:r w:rsidRPr="00054D69">
        <w:rPr>
          <w:rFonts w:ascii="Sylfaen" w:hAnsi="Sylfaen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ԱՌ</w:t>
      </w:r>
      <w:r w:rsidRPr="00054D69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ների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կիրառումը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տեխնոլոգիական</w:t>
      </w:r>
      <w:r w:rsidRPr="00054D6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օժանդակ</w:t>
      </w:r>
      <w:r w:rsidRPr="00054D69">
        <w:rPr>
          <w:rFonts w:ascii="Sylfaen" w:hAnsi="Sylfaen"/>
          <w:lang w:val="en-US"/>
        </w:rPr>
        <w:t xml:space="preserve"> </w:t>
      </w:r>
      <w:r w:rsidRPr="00054D69">
        <w:rPr>
          <w:rFonts w:ascii="Sylfaen" w:hAnsi="Sylfaen"/>
          <w:lang w:val="en-US"/>
        </w:rPr>
        <w:tab/>
        <w:t xml:space="preserve">                    </w:t>
      </w:r>
      <w:r>
        <w:rPr>
          <w:rFonts w:ascii="Sylfaen" w:hAnsi="Sylfaen"/>
          <w:lang w:val="en-US"/>
        </w:rPr>
        <w:t>գործողություններում</w:t>
      </w:r>
      <w:r w:rsidRPr="00054D69">
        <w:rPr>
          <w:rFonts w:ascii="Sylfaen" w:hAnsi="Sylfaen"/>
          <w:lang w:val="en-US"/>
        </w:rPr>
        <w:t>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Մանիպուլյատորներ: Նկարագրությունը: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Ռոբոտ-մանիպուլյատորներ: Նկարագրությունը: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Ռոբոտների կինեմատիկական զույգերի տիպերը և նրանց         դասակարգումը: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Ռոբոտ-մանիպուլյատորների օղակների ազատության                  աստիճանների թիվը;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Ռոբոտ-մանիպուլյատորների կառուցվածքային սինթեզը: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 սահմանումը,կառուցվածքի  ընդհանուր հատկանիշները, աշխատանքային գոտի: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դասակարգումը: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նախագծման ելքային տվյալները: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նախագծային կառուցվածքային սխեմայի մշակում: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Մանիպուլյատորի նախագծման ընդհանուր սկզբունքները: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Մանիպուլյատորների շարժաբերների տարատեսակները: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Մանիպուլյատորների պնևմատիկ շարժաբերները: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և մանիպուլյատորների հիդրավլիկ շարժաբերները: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շև մանիպուլյատորների շարժաբերներին                          ներկայացվող պահանջները: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Հետադարձ կապը ԱՌ-ներում: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Հետադարձ կապի տվիչներին ներկայացվող պահանջները: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Վերջնական անջատիչները ԱՌ-ներում: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Օպտիկական և լազերային 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Էլեկտրամագնիսական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Շարժման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Ուլտրաձայնային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Ակուստիկական և պյեզո-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Գերկոնային տվիչները: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Կոմբինաղված շարժաբերները և տվիչների հետ նրանց կապի</w:t>
      </w:r>
      <w:r>
        <w:rPr>
          <w:rFonts w:ascii="Sylfaen" w:hAnsi="Sylfaen"/>
          <w:lang w:val="en-US"/>
        </w:rPr>
        <w:tab/>
        <w:t xml:space="preserve">   համակարգերը: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Էլեկտրական շարժաբերները և նրանց                                   առանձնահատկությունները: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Պնևմատիկական բաշխիչներ, նկարագրությունը: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Պնևմատիկական բաշխիչների դասակարգումը: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Պնևմատիկական բաշխիչների պայմանական նշանները               սխեմաներում: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Պնևմատիկական բաշխիչների կառավարման ձևերը և                 դասակարգումը ըստ գծերի քանակների: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Պնևմատիկ շարժաբերների: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Պնևմատիկ շարժաբերների տարատեսակները և կառուցվածքը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կառավարման համակարգի ընտրությունը: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կառավարման համակարգերում                                 պնևմոավտոմատիկայի տարրերի կիրառման                           բազմաուղղվածությունը և կիրառման հեռանկարները: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ԱՌ-ներում պնևմոավտոմատիկայի օգտագործման                  սահմանափակումները: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ԱՌ-ների պնևմաավտոմատիկայի կիրառման հետ կապված               ֆիզկական օրենքները և առանձին երևույթները: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Սեղմած օդի արտադրումը և բաշխումը: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Օդի նախապատրաստման հանգույցները, կառուցվածքը: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Օդի ծախսի և ճնշման կարգավորիչները: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Դրոսելները և հետադարձ փականները:</w:t>
      </w:r>
    </w:p>
    <w:p w:rsid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Sylfaen" w:hAnsi="Sylfaen"/>
          <w:lang w:val="en-US"/>
        </w:rPr>
        <w:t xml:space="preserve">Անվտանգության ապահովումը ԱՌ-ների նախագծման և              շահագործման փուլերում: 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  <w:sz w:val="18"/>
          <w:lang w:val="en-US"/>
        </w:rPr>
        <w:t>.</w:t>
      </w:r>
      <w:r w:rsidRPr="00054D69">
        <w:rPr>
          <w:rFonts w:ascii="GHEA Grapalat" w:hAnsi="GHEA Grapalat"/>
        </w:rPr>
        <w:t>ՃԱԱ</w:t>
      </w:r>
      <w:r w:rsidRPr="00054D69">
        <w:rPr>
          <w:rFonts w:ascii="GHEA Grapalat" w:hAnsi="GHEA Grapalat"/>
          <w:lang w:val="en-US"/>
        </w:rPr>
        <w:t>-</w:t>
      </w:r>
      <w:r w:rsidRPr="00054D69">
        <w:rPr>
          <w:rFonts w:ascii="GHEA Grapalat" w:hAnsi="GHEA Grapalat"/>
        </w:rPr>
        <w:t>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ստեղծումը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և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նրա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հիմնական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սկզբունքները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ՃԱԱ</w:t>
      </w:r>
      <w:r w:rsidRPr="00054D69">
        <w:rPr>
          <w:rFonts w:ascii="GHEA Grapalat" w:hAnsi="GHEA Grapalat"/>
          <w:lang w:val="en-US"/>
        </w:rPr>
        <w:t>-</w:t>
      </w:r>
      <w:r w:rsidRPr="00054D69">
        <w:rPr>
          <w:rFonts w:ascii="GHEA Grapalat" w:hAnsi="GHEA Grapalat"/>
        </w:rPr>
        <w:t>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մեջ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կիրառվող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տերմիններն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ու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սահմանումները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Ավտոմատացված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արտադրության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բնութագրերը՝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արտադրանքի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տեսակները</w:t>
      </w:r>
      <w:r w:rsidRPr="00054D69">
        <w:rPr>
          <w:rFonts w:ascii="GHEA Grapalat" w:hAnsi="GHEA Grapalat"/>
          <w:lang w:val="en-US"/>
        </w:rPr>
        <w:t xml:space="preserve">, </w:t>
      </w:r>
      <w:r w:rsidRPr="00054D69">
        <w:rPr>
          <w:rFonts w:ascii="GHEA Grapalat" w:hAnsi="GHEA Grapalat"/>
        </w:rPr>
        <w:t>արտադրողականություն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Ճկուն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արտադրական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համակարգերի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հիմնական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խնդիրներ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ՃԱԱ</w:t>
      </w:r>
      <w:r w:rsidRPr="00054D69">
        <w:rPr>
          <w:rFonts w:ascii="GHEA Grapalat" w:hAnsi="GHEA Grapalat"/>
          <w:lang w:val="en-US"/>
        </w:rPr>
        <w:t>-</w:t>
      </w:r>
      <w:r w:rsidRPr="00054D69">
        <w:rPr>
          <w:rFonts w:ascii="GHEA Grapalat" w:hAnsi="GHEA Grapalat"/>
        </w:rPr>
        <w:t>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հիմնական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խնդիրները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ՃԱԱ</w:t>
      </w:r>
      <w:r w:rsidRPr="00054D69">
        <w:rPr>
          <w:rFonts w:ascii="GHEA Grapalat" w:hAnsi="GHEA Grapalat"/>
          <w:lang w:val="en-US"/>
        </w:rPr>
        <w:t>-</w:t>
      </w:r>
      <w:r w:rsidRPr="00054D69">
        <w:rPr>
          <w:rFonts w:ascii="GHEA Grapalat" w:hAnsi="GHEA Grapalat"/>
        </w:rPr>
        <w:t>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ընդհանուր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դրույթները</w:t>
      </w:r>
      <w:r w:rsidRPr="00054D69">
        <w:rPr>
          <w:rFonts w:ascii="GHEA Grapalat" w:hAnsi="GHEA Grapalat"/>
          <w:lang w:val="en-US"/>
        </w:rPr>
        <w:t xml:space="preserve">: </w:t>
      </w:r>
      <w:r w:rsidRPr="00054D69">
        <w:rPr>
          <w:rFonts w:ascii="GHEA Grapalat" w:hAnsi="GHEA Grapalat"/>
        </w:rPr>
        <w:t>Փոքր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ձեռնարկության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ստեղծման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անհրաժեշտությունը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շուկայական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հարաբերությունների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պայմաններում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Ճկունություն</w:t>
      </w:r>
      <w:r w:rsidRPr="00054D69">
        <w:rPr>
          <w:rFonts w:ascii="GHEA Grapalat" w:hAnsi="GHEA Grapalat"/>
          <w:lang w:val="en-US"/>
        </w:rPr>
        <w:t xml:space="preserve">. </w:t>
      </w:r>
      <w:r w:rsidRPr="00054D69">
        <w:rPr>
          <w:rFonts w:ascii="GHEA Grapalat" w:hAnsi="GHEA Grapalat"/>
        </w:rPr>
        <w:t>ճկունության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տիպերը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և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աստիճանները</w:t>
      </w:r>
      <w:r w:rsidRPr="00054D69">
        <w:rPr>
          <w:rFonts w:ascii="GHEA Grapalat" w:hAnsi="GHEA Grapalat"/>
          <w:lang w:val="en-US"/>
        </w:rPr>
        <w:t>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ՃԱԱ-ի կառուցվածքային սխեման: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.ՃԱԱ-ի կիրառումը արտադրություններում: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Հատակա-հոդակապա-սլաքային ռոբոտներ:</w:t>
      </w:r>
    </w:p>
    <w:p w:rsidR="00054D69" w:rsidRPr="00054D69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</w:rPr>
        <w:t>Արտադրողականությունը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և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ժամանակի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կորուստը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ՃԱԱ</w:t>
      </w:r>
      <w:r w:rsidRPr="00054D69">
        <w:rPr>
          <w:rFonts w:ascii="GHEA Grapalat" w:hAnsi="GHEA Grapalat"/>
          <w:lang w:val="en-US"/>
        </w:rPr>
        <w:t>-</w:t>
      </w:r>
      <w:r w:rsidRPr="00054D69">
        <w:rPr>
          <w:rFonts w:ascii="GHEA Grapalat" w:hAnsi="GHEA Grapalat"/>
        </w:rPr>
        <w:t>ում</w:t>
      </w:r>
      <w:r w:rsidRPr="00054D69">
        <w:rPr>
          <w:rFonts w:ascii="GHEA Grapalat" w:hAnsi="GHEA Grapalat"/>
          <w:lang w:val="en-US"/>
        </w:rPr>
        <w:t>:</w:t>
      </w:r>
    </w:p>
    <w:p w:rsidR="00054D69" w:rsidRPr="003E5781" w:rsidRDefault="00054D69" w:rsidP="00054D6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054D69">
        <w:rPr>
          <w:rFonts w:ascii="GHEA Grapalat" w:hAnsi="GHEA Grapalat"/>
          <w:lang w:val="en-US"/>
        </w:rPr>
        <w:t>.</w:t>
      </w:r>
      <w:r w:rsidRPr="00054D69">
        <w:rPr>
          <w:rFonts w:ascii="GHEA Grapalat" w:hAnsi="GHEA Grapalat"/>
        </w:rPr>
        <w:t>Լիսեռների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մշակումը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ԹԾԿ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հաստոցի</w:t>
      </w:r>
      <w:r w:rsidRPr="00054D69">
        <w:rPr>
          <w:rFonts w:ascii="GHEA Grapalat" w:hAnsi="GHEA Grapalat"/>
          <w:lang w:val="en-US"/>
        </w:rPr>
        <w:t xml:space="preserve"> </w:t>
      </w:r>
      <w:r w:rsidRPr="00054D69">
        <w:rPr>
          <w:rFonts w:ascii="GHEA Grapalat" w:hAnsi="GHEA Grapalat"/>
        </w:rPr>
        <w:t>վրա</w:t>
      </w:r>
      <w:r w:rsidRPr="00054D69">
        <w:rPr>
          <w:rFonts w:ascii="GHEA Grapalat" w:hAnsi="GHEA Grapalat"/>
          <w:lang w:val="en-US"/>
        </w:rPr>
        <w:t>:</w:t>
      </w:r>
    </w:p>
    <w:p w:rsidR="003E5781" w:rsidRDefault="003E5781" w:rsidP="003E5781">
      <w:pPr>
        <w:pStyle w:val="ListParagraph"/>
        <w:rPr>
          <w:rFonts w:ascii="GHEA Grapalat" w:hAnsi="GHEA Grapalat"/>
          <w:lang w:val="en-US"/>
        </w:rPr>
      </w:pPr>
    </w:p>
    <w:p w:rsidR="003E5781" w:rsidRPr="00054D69" w:rsidRDefault="003E5781" w:rsidP="003E5781">
      <w:pPr>
        <w:pStyle w:val="ListParagraph"/>
        <w:jc w:val="center"/>
        <w:rPr>
          <w:rFonts w:ascii="Sylfaen" w:hAnsi="Sylfaen"/>
          <w:lang w:val="en-US"/>
        </w:rPr>
      </w:pPr>
      <w:r>
        <w:rPr>
          <w:rFonts w:ascii="GHEA Grapalat" w:hAnsi="GHEA Grapalat"/>
          <w:lang w:val="en-US"/>
        </w:rPr>
        <w:t>Գրականություն</w:t>
      </w:r>
    </w:p>
    <w:p w:rsidR="00054D69" w:rsidRDefault="00054D69">
      <w:pPr>
        <w:rPr>
          <w:lang w:val="en-US"/>
        </w:rPr>
      </w:pPr>
    </w:p>
    <w:p w:rsidR="00AC27AE" w:rsidRPr="00AC27AE" w:rsidRDefault="00AC27AE" w:rsidP="00AC27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C27AE">
        <w:rPr>
          <w:rFonts w:ascii="Arial" w:hAnsi="Arial" w:cs="Arial"/>
          <w:color w:val="707070"/>
          <w:sz w:val="17"/>
          <w:szCs w:val="17"/>
          <w:shd w:val="clear" w:color="auto" w:fill="FFFFFF"/>
          <w:lang w:val="en-US"/>
        </w:rPr>
        <w:t>.</w:t>
      </w:r>
      <w:r w:rsidRPr="00AC27A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C27AE">
        <w:rPr>
          <w:rFonts w:ascii="Sylfaen" w:hAnsi="Sylfaen" w:cs="Sylfaen"/>
          <w:sz w:val="20"/>
        </w:rPr>
        <w:t>Դիլանյան</w:t>
      </w:r>
      <w:r w:rsidRPr="00AC27AE">
        <w:rPr>
          <w:rFonts w:ascii="Arial" w:hAnsi="Arial" w:cs="Arial"/>
          <w:sz w:val="20"/>
          <w:lang w:val="en-US"/>
        </w:rPr>
        <w:t xml:space="preserve">, </w:t>
      </w:r>
      <w:r w:rsidRPr="00AC27AE">
        <w:rPr>
          <w:rFonts w:ascii="Sylfaen" w:hAnsi="Sylfaen" w:cs="Sylfaen"/>
          <w:sz w:val="20"/>
        </w:rPr>
        <w:t>Լ</w:t>
      </w:r>
      <w:r w:rsidRPr="00AC27AE">
        <w:rPr>
          <w:rFonts w:ascii="Sylfaen" w:hAnsi="Sylfaen" w:cs="Sylfaen"/>
          <w:sz w:val="20"/>
          <w:lang w:val="en-US"/>
        </w:rPr>
        <w:t>.</w:t>
      </w:r>
      <w:r w:rsidRPr="00AC27AE">
        <w:rPr>
          <w:rFonts w:ascii="Arial" w:hAnsi="Arial" w:cs="Arial"/>
          <w:sz w:val="20"/>
          <w:lang w:val="en-US"/>
        </w:rPr>
        <w:t xml:space="preserve"> </w:t>
      </w:r>
      <w:r w:rsidRPr="00AC27AE">
        <w:rPr>
          <w:rFonts w:ascii="Sylfaen" w:hAnsi="Sylfaen" w:cs="Sylfaen"/>
          <w:sz w:val="20"/>
        </w:rPr>
        <w:t>Հ</w:t>
      </w:r>
      <w:r w:rsidRPr="00AC27AE">
        <w:rPr>
          <w:rFonts w:ascii="Sylfaen" w:hAnsi="Sylfaen" w:cs="Sylfaen"/>
          <w:sz w:val="20"/>
          <w:lang w:val="en-US"/>
        </w:rPr>
        <w:t>.</w:t>
      </w:r>
      <w:hyperlink r:id="rId5" w:history="1">
        <w:r w:rsidRPr="00AC27AE">
          <w:rPr>
            <w:rFonts w:ascii="Sylfaen" w:hAnsi="Sylfaen" w:cs="Sylfaen"/>
            <w:bCs/>
            <w:sz w:val="20"/>
          </w:rPr>
          <w:t>Ավտոմատիկայի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հիմունքները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և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արտադրական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պրոցեսների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ավտոմատացումը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: </w:t>
        </w:r>
        <w:r w:rsidRPr="00AC27AE">
          <w:rPr>
            <w:rFonts w:ascii="Sylfaen" w:hAnsi="Sylfaen" w:cs="Sylfaen"/>
            <w:bCs/>
            <w:sz w:val="20"/>
          </w:rPr>
          <w:t>Ուս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. </w:t>
        </w:r>
        <w:r w:rsidRPr="00AC27AE">
          <w:rPr>
            <w:rFonts w:ascii="Sylfaen" w:hAnsi="Sylfaen" w:cs="Sylfaen"/>
            <w:bCs/>
            <w:sz w:val="20"/>
          </w:rPr>
          <w:t>ձեռնարկ</w:t>
        </w:r>
      </w:hyperlink>
      <w:r w:rsidRPr="00AC27AE">
        <w:rPr>
          <w:rFonts w:ascii="Sylfaen" w:hAnsi="Sylfaen" w:cs="Sylfaen"/>
          <w:sz w:val="17"/>
          <w:lang w:val="en-US"/>
        </w:rPr>
        <w:t xml:space="preserve"> </w:t>
      </w:r>
      <w:r w:rsidRPr="00AC27AE">
        <w:rPr>
          <w:rFonts w:ascii="Sylfaen" w:hAnsi="Sylfaen" w:cs="Sylfaen"/>
          <w:sz w:val="17"/>
        </w:rPr>
        <w:t>Երևան</w:t>
      </w:r>
      <w:r w:rsidRPr="00AC27AE">
        <w:rPr>
          <w:rFonts w:ascii="Arial" w:hAnsi="Arial" w:cs="Arial"/>
          <w:sz w:val="17"/>
          <w:lang w:val="en-US"/>
        </w:rPr>
        <w:t xml:space="preserve"> : </w:t>
      </w:r>
      <w:r w:rsidRPr="00AC27AE">
        <w:rPr>
          <w:rFonts w:ascii="Sylfaen" w:hAnsi="Sylfaen" w:cs="Sylfaen"/>
          <w:sz w:val="17"/>
        </w:rPr>
        <w:t>Լույս</w:t>
      </w:r>
      <w:r w:rsidRPr="00AC27AE">
        <w:rPr>
          <w:rFonts w:ascii="Arial" w:hAnsi="Arial" w:cs="Arial"/>
          <w:sz w:val="17"/>
          <w:lang w:val="en-US"/>
        </w:rPr>
        <w:t>, 1976</w:t>
      </w:r>
    </w:p>
    <w:p w:rsidR="00AC27AE" w:rsidRPr="00AC27AE" w:rsidRDefault="00AC27AE" w:rsidP="00AC27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C27AE">
        <w:rPr>
          <w:rFonts w:ascii="Arial" w:hAnsi="Arial" w:cs="Arial"/>
          <w:sz w:val="17"/>
          <w:lang w:val="en-US"/>
        </w:rPr>
        <w:t>.</w:t>
      </w:r>
      <w:r w:rsidRPr="00AC27AE">
        <w:rPr>
          <w:rFonts w:ascii="Arial" w:hAnsi="Arial" w:cs="Arial"/>
          <w:sz w:val="20"/>
          <w:szCs w:val="20"/>
          <w:lang w:val="en-US"/>
        </w:rPr>
        <w:t xml:space="preserve"> </w:t>
      </w:r>
      <w:r w:rsidRPr="00AC27AE">
        <w:rPr>
          <w:rFonts w:ascii="Sylfaen" w:hAnsi="Sylfaen" w:cs="Sylfaen"/>
          <w:sz w:val="20"/>
        </w:rPr>
        <w:t>Զուբով</w:t>
      </w:r>
      <w:r w:rsidRPr="00AC27AE">
        <w:rPr>
          <w:rFonts w:ascii="Arial" w:hAnsi="Arial" w:cs="Arial"/>
          <w:sz w:val="20"/>
          <w:lang w:val="en-US"/>
        </w:rPr>
        <w:t xml:space="preserve">, </w:t>
      </w:r>
      <w:r w:rsidRPr="00AC27AE">
        <w:rPr>
          <w:rFonts w:ascii="Sylfaen" w:hAnsi="Sylfaen" w:cs="Sylfaen"/>
          <w:sz w:val="20"/>
        </w:rPr>
        <w:t>Վ</w:t>
      </w:r>
      <w:r w:rsidRPr="00AC27AE">
        <w:rPr>
          <w:rFonts w:ascii="Sylfaen" w:hAnsi="Sylfaen" w:cs="Sylfaen"/>
          <w:sz w:val="20"/>
          <w:lang w:val="en-US"/>
        </w:rPr>
        <w:t>.</w:t>
      </w:r>
      <w:r w:rsidRPr="00AC27AE">
        <w:rPr>
          <w:rFonts w:ascii="Arial" w:hAnsi="Arial" w:cs="Arial"/>
          <w:sz w:val="20"/>
          <w:lang w:val="en-US"/>
        </w:rPr>
        <w:t xml:space="preserve"> </w:t>
      </w:r>
      <w:r w:rsidRPr="00AC27AE">
        <w:rPr>
          <w:rFonts w:ascii="Sylfaen" w:hAnsi="Sylfaen" w:cs="Sylfaen"/>
          <w:sz w:val="20"/>
        </w:rPr>
        <w:t>Տ</w:t>
      </w:r>
      <w:r w:rsidRPr="00AC27AE">
        <w:rPr>
          <w:rFonts w:ascii="Sylfaen" w:hAnsi="Sylfaen" w:cs="Sylfaen"/>
          <w:sz w:val="20"/>
          <w:lang w:val="en-US"/>
        </w:rPr>
        <w:t>.</w:t>
      </w:r>
      <w:r w:rsidRPr="00AC27AE">
        <w:rPr>
          <w:lang w:val="en-US"/>
        </w:rPr>
        <w:t xml:space="preserve"> </w:t>
      </w:r>
      <w:hyperlink r:id="rId6" w:history="1">
        <w:r w:rsidRPr="00AC27AE">
          <w:rPr>
            <w:rFonts w:ascii="Sylfaen" w:hAnsi="Sylfaen" w:cs="Sylfaen"/>
            <w:bCs/>
            <w:sz w:val="20"/>
          </w:rPr>
          <w:t>Արտադրության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մեքենայացման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և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ավտոմատացման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հիմունքները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: </w:t>
        </w:r>
        <w:r w:rsidRPr="00AC27AE">
          <w:rPr>
            <w:rFonts w:ascii="Sylfaen" w:hAnsi="Sylfaen" w:cs="Sylfaen"/>
            <w:bCs/>
            <w:sz w:val="20"/>
          </w:rPr>
          <w:t>Ուս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. </w:t>
        </w:r>
        <w:r w:rsidRPr="00AC27AE">
          <w:rPr>
            <w:rFonts w:ascii="Sylfaen" w:hAnsi="Sylfaen" w:cs="Sylfaen"/>
            <w:bCs/>
            <w:sz w:val="20"/>
          </w:rPr>
          <w:t>ձեռնարկ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քաղ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. </w:t>
        </w:r>
        <w:r w:rsidRPr="00AC27AE">
          <w:rPr>
            <w:rFonts w:ascii="Sylfaen" w:hAnsi="Sylfaen" w:cs="Sylfaen"/>
            <w:bCs/>
            <w:sz w:val="20"/>
          </w:rPr>
          <w:t>պրոֆ</w:t>
        </w:r>
        <w:r w:rsidRPr="00AC27AE">
          <w:rPr>
            <w:rFonts w:ascii="Arial" w:hAnsi="Arial" w:cs="Arial"/>
            <w:bCs/>
            <w:sz w:val="20"/>
            <w:lang w:val="en-US"/>
          </w:rPr>
          <w:t>.-</w:t>
        </w:r>
        <w:r w:rsidRPr="00AC27AE">
          <w:rPr>
            <w:rFonts w:ascii="Sylfaen" w:hAnsi="Sylfaen" w:cs="Sylfaen"/>
            <w:bCs/>
            <w:sz w:val="20"/>
          </w:rPr>
          <w:t>տեխն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. </w:t>
        </w:r>
        <w:r w:rsidRPr="00AC27AE">
          <w:rPr>
            <w:rFonts w:ascii="Sylfaen" w:hAnsi="Sylfaen" w:cs="Sylfaen"/>
            <w:bCs/>
            <w:sz w:val="20"/>
          </w:rPr>
          <w:t>ուսումնարանների</w:t>
        </w:r>
        <w:r w:rsidRPr="00AC27AE">
          <w:rPr>
            <w:rFonts w:ascii="Arial" w:hAnsi="Arial" w:cs="Arial"/>
            <w:bCs/>
            <w:sz w:val="20"/>
            <w:lang w:val="en-US"/>
          </w:rPr>
          <w:t xml:space="preserve"> </w:t>
        </w:r>
        <w:r w:rsidRPr="00AC27AE">
          <w:rPr>
            <w:rFonts w:ascii="Sylfaen" w:hAnsi="Sylfaen" w:cs="Sylfaen"/>
            <w:bCs/>
            <w:sz w:val="20"/>
          </w:rPr>
          <w:t>համար</w:t>
        </w:r>
      </w:hyperlink>
      <w:r w:rsidRPr="00AC27AE">
        <w:rPr>
          <w:rFonts w:ascii="Sylfaen" w:hAnsi="Sylfaen" w:cs="Sylfaen"/>
          <w:sz w:val="17"/>
          <w:lang w:val="en-US"/>
        </w:rPr>
        <w:t xml:space="preserve"> </w:t>
      </w:r>
      <w:r w:rsidRPr="00AC27AE">
        <w:rPr>
          <w:rFonts w:ascii="Sylfaen" w:hAnsi="Sylfaen" w:cs="Sylfaen"/>
          <w:sz w:val="17"/>
        </w:rPr>
        <w:t>Երևան</w:t>
      </w:r>
      <w:r w:rsidRPr="00AC27AE">
        <w:rPr>
          <w:rFonts w:ascii="Arial" w:hAnsi="Arial" w:cs="Arial"/>
          <w:sz w:val="17"/>
          <w:lang w:val="en-US"/>
        </w:rPr>
        <w:t xml:space="preserve"> : </w:t>
      </w:r>
      <w:r w:rsidRPr="00AC27AE">
        <w:rPr>
          <w:rFonts w:ascii="Sylfaen" w:hAnsi="Sylfaen" w:cs="Sylfaen"/>
          <w:sz w:val="17"/>
        </w:rPr>
        <w:t>Լույս</w:t>
      </w:r>
      <w:r w:rsidRPr="00AC27AE">
        <w:rPr>
          <w:rFonts w:ascii="Arial" w:hAnsi="Arial" w:cs="Arial"/>
          <w:sz w:val="17"/>
          <w:lang w:val="en-US"/>
        </w:rPr>
        <w:t>, 1968</w:t>
      </w:r>
    </w:p>
    <w:p w:rsidR="003E5781" w:rsidRPr="006706C4" w:rsidRDefault="003E5781" w:rsidP="003E5781">
      <w:pPr>
        <w:numPr>
          <w:ilvl w:val="0"/>
          <w:numId w:val="2"/>
        </w:num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>Справочник технолога-машиностроителя. Б 2-х томах. Под ред. А. Г. Косиловой и Р. К. Мещерякова М.: Маш., 1986, 656 с. и 1985, 496 с.</w:t>
      </w:r>
    </w:p>
    <w:p w:rsidR="003E5781" w:rsidRPr="006706C4" w:rsidRDefault="003E5781" w:rsidP="003E5781">
      <w:p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   </w:t>
      </w:r>
      <w:r w:rsidRPr="00F80348">
        <w:rPr>
          <w:rFonts w:ascii="Sylfaen" w:hAnsi="Sylfaen" w:cs="Sylfaen"/>
          <w:sz w:val="22"/>
        </w:rPr>
        <w:t>2</w:t>
      </w:r>
      <w:r w:rsidRPr="006706C4">
        <w:rPr>
          <w:rFonts w:ascii="Sylfaen" w:hAnsi="Sylfaen" w:cs="Sylfaen"/>
          <w:sz w:val="22"/>
        </w:rPr>
        <w:t>.    Обработка металлов резанием. Справочник технолога. Под ред.</w:t>
      </w:r>
    </w:p>
    <w:p w:rsidR="003E5781" w:rsidRPr="006706C4" w:rsidRDefault="003E5781" w:rsidP="003E5781">
      <w:pPr>
        <w:ind w:firstLine="708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А. А. Панова. М.,Маш 1987.      </w:t>
      </w:r>
    </w:p>
    <w:p w:rsidR="003E5781" w:rsidRPr="006706C4" w:rsidRDefault="003E5781" w:rsidP="003E5781">
      <w:pPr>
        <w:jc w:val="both"/>
        <w:rPr>
          <w:rFonts w:ascii="Sylfaen" w:hAnsi="Sylfaen" w:cs="Sylfaen"/>
          <w:sz w:val="22"/>
        </w:rPr>
      </w:pPr>
      <w:r w:rsidRPr="006706C4">
        <w:rPr>
          <w:rFonts w:ascii="Sylfaen" w:hAnsi="Sylfaen" w:cs="Sylfaen"/>
          <w:sz w:val="22"/>
        </w:rPr>
        <w:t xml:space="preserve">              </w:t>
      </w:r>
      <w:r w:rsidRPr="00F80348">
        <w:rPr>
          <w:rFonts w:ascii="Sylfaen" w:hAnsi="Sylfaen" w:cs="Sylfaen"/>
          <w:sz w:val="22"/>
        </w:rPr>
        <w:t>3</w:t>
      </w:r>
      <w:r w:rsidRPr="006706C4">
        <w:rPr>
          <w:rFonts w:ascii="Sylfaen" w:hAnsi="Sylfaen" w:cs="Sylfaen"/>
          <w:sz w:val="22"/>
        </w:rPr>
        <w:t>.     Г.И. Грановский. Грановский</w:t>
      </w:r>
      <w:r w:rsidRPr="006706C4">
        <w:rPr>
          <w:sz w:val="22"/>
        </w:rPr>
        <w:t xml:space="preserve"> В.Г.</w:t>
      </w:r>
      <w:r w:rsidRPr="006706C4">
        <w:rPr>
          <w:rFonts w:ascii="Sylfaen" w:hAnsi="Sylfaen" w:cs="Sylfaen"/>
          <w:sz w:val="22"/>
        </w:rPr>
        <w:t xml:space="preserve">  Резание металлов. М. Высш. шк. 1</w:t>
      </w:r>
      <w:r w:rsidRPr="00245950">
        <w:rPr>
          <w:rFonts w:ascii="Sylfaen" w:hAnsi="Sylfaen" w:cs="Sylfaen"/>
          <w:sz w:val="22"/>
        </w:rPr>
        <w:t>985.</w:t>
      </w:r>
    </w:p>
    <w:p w:rsidR="003E5781" w:rsidRPr="006927B7" w:rsidRDefault="003E5781" w:rsidP="003E5781">
      <w:r w:rsidRPr="006706C4">
        <w:rPr>
          <w:rFonts w:ascii="Sylfaen" w:hAnsi="Sylfaen" w:cs="Sylfaen"/>
          <w:sz w:val="22"/>
        </w:rPr>
        <w:lastRenderedPageBreak/>
        <w:t xml:space="preserve">              4.     Մ.Մ.Սիմոնյան, Մ.Ս.Սարգսյան. Մետաղների  կտրում.                     </w:t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</w:r>
      <w:r w:rsidRPr="006706C4">
        <w:rPr>
          <w:rFonts w:ascii="Sylfaen" w:hAnsi="Sylfaen" w:cs="Sylfaen"/>
          <w:sz w:val="22"/>
        </w:rPr>
        <w:tab/>
        <w:t xml:space="preserve">Դասախոսությունների համառոտ շարադրանք: 2016, ՀԱՊՀ, Վանաձոր:     </w:t>
      </w:r>
    </w:p>
    <w:p w:rsidR="003E5781" w:rsidRDefault="003E5781"/>
    <w:p w:rsidR="00430A7F" w:rsidRDefault="00430A7F"/>
    <w:p w:rsidR="00430A7F" w:rsidRDefault="00430A7F"/>
    <w:p w:rsidR="00430A7F" w:rsidRPr="00543C80" w:rsidRDefault="00430A7F" w:rsidP="00430A7F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2579262</wp:posOffset>
            </wp:positionH>
            <wp:positionV relativeFrom="paragraph">
              <wp:posOffset>-3606</wp:posOffset>
            </wp:positionV>
            <wp:extent cx="972988" cy="327803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32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C80">
        <w:rPr>
          <w:rFonts w:ascii="Sylfaen" w:hAnsi="Sylfaen"/>
          <w:lang w:val="hy-AM"/>
        </w:rPr>
        <w:t>ՏևՃՏ ամբիոնի վարիչ</w:t>
      </w:r>
      <w:r w:rsidRPr="00543C80">
        <w:rPr>
          <w:rFonts w:ascii="Sylfaen" w:hAnsi="Sylfaen"/>
          <w:lang w:val="hy-AM"/>
        </w:rPr>
        <w:tab/>
      </w:r>
      <w:r w:rsidRPr="00543C80">
        <w:rPr>
          <w:rFonts w:ascii="Sylfaen" w:hAnsi="Sylfaen"/>
          <w:lang w:val="hy-AM"/>
        </w:rPr>
        <w:tab/>
      </w:r>
      <w:r w:rsidRPr="00543C80">
        <w:rPr>
          <w:rFonts w:ascii="Sylfaen" w:hAnsi="Sylfaen"/>
          <w:lang w:val="hy-AM"/>
        </w:rPr>
        <w:tab/>
        <w:t xml:space="preserve"> Ն.Գ. Մելիքսեթյան</w:t>
      </w:r>
    </w:p>
    <w:p w:rsidR="00430A7F" w:rsidRPr="00430A7F" w:rsidRDefault="00430A7F">
      <w:pPr>
        <w:rPr>
          <w:lang w:val="hy-AM"/>
        </w:rPr>
      </w:pPr>
    </w:p>
    <w:sectPr w:rsidR="00430A7F" w:rsidRPr="00430A7F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152"/>
    <w:multiLevelType w:val="hybridMultilevel"/>
    <w:tmpl w:val="001A2BA4"/>
    <w:lvl w:ilvl="0" w:tplc="0D26C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FB78EF"/>
    <w:multiLevelType w:val="hybridMultilevel"/>
    <w:tmpl w:val="B13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69"/>
    <w:rsid w:val="00054D69"/>
    <w:rsid w:val="001D0E4D"/>
    <w:rsid w:val="002B1D8F"/>
    <w:rsid w:val="003E5781"/>
    <w:rsid w:val="00430A7F"/>
    <w:rsid w:val="004C5005"/>
    <w:rsid w:val="005352EC"/>
    <w:rsid w:val="0065681F"/>
    <w:rsid w:val="006927B7"/>
    <w:rsid w:val="008564CA"/>
    <w:rsid w:val="009E2443"/>
    <w:rsid w:val="00AC27AE"/>
    <w:rsid w:val="00C74FDE"/>
    <w:rsid w:val="00D7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C74FDE"/>
    <w:pPr>
      <w:ind w:left="1440" w:right="2231"/>
      <w:jc w:val="center"/>
    </w:pPr>
    <w:rPr>
      <w:rFonts w:ascii="Arial Armenian" w:hAnsi="Arial Armenian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ygirk.nla.am/cgi-bin/koha/opac-detail.pl?biblionumber=40691&amp;query_desc=su%3A%22%D4%B1%D5%BE%D5%BF%D5%B8%D5%B4%D5%A1%D5%BF%D5%A1%D6%81%D5%B8%D6%82%D5%B4%22" TargetMode="External"/><Relationship Id="rId5" Type="http://schemas.openxmlformats.org/officeDocument/2006/relationships/hyperlink" Target="http://haygirk.nla.am/cgi-bin/koha/opac-detail.pl?biblionumber=1984&amp;query_desc=su%3A%22%D4%B1%D5%BE%D5%BF%D5%B8%D5%B4%D5%A1%D5%BF%D5%A1%D6%81%D5%B8%D6%82%D5%B4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9</cp:revision>
  <dcterms:created xsi:type="dcterms:W3CDTF">2020-07-24T14:53:00Z</dcterms:created>
  <dcterms:modified xsi:type="dcterms:W3CDTF">2020-08-03T11:01:00Z</dcterms:modified>
</cp:coreProperties>
</file>